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3" w:rsidRPr="006C75B5" w:rsidRDefault="00EE39D3" w:rsidP="008136EC">
      <w:pPr>
        <w:jc w:val="center"/>
      </w:pPr>
    </w:p>
    <w:p w:rsidR="003C36F5" w:rsidRPr="006C75B5" w:rsidRDefault="003C36F5" w:rsidP="00A04C71">
      <w:pPr>
        <w:jc w:val="center"/>
      </w:pPr>
    </w:p>
    <w:p w:rsidR="003C36F5" w:rsidRPr="006C75B5" w:rsidRDefault="006C75B5">
      <w:pPr>
        <w:pStyle w:val="DecHTitle"/>
      </w:pPr>
      <w:r w:rsidRPr="006C75B5">
        <w:rPr>
          <w:szCs w:val="24"/>
        </w:rPr>
        <w:t>DEUXIÈME SECTION</w:t>
      </w:r>
    </w:p>
    <w:p w:rsidR="003C36F5" w:rsidRPr="006C75B5" w:rsidRDefault="0031317E" w:rsidP="00DC44E5">
      <w:pPr>
        <w:pStyle w:val="DecHTitle"/>
        <w:rPr>
          <w:caps/>
          <w:sz w:val="32"/>
        </w:rPr>
      </w:pPr>
      <w:r w:rsidRPr="006C75B5">
        <w:t>DÉCISION</w:t>
      </w:r>
    </w:p>
    <w:p w:rsidR="008E63DB" w:rsidRPr="006C75B5" w:rsidRDefault="006C75B5" w:rsidP="00DD2564">
      <w:pPr>
        <w:pStyle w:val="DecHCase"/>
      </w:pPr>
      <w:r w:rsidRPr="006C75B5">
        <w:t>Requête n</w:t>
      </w:r>
      <w:r w:rsidRPr="006C75B5">
        <w:rPr>
          <w:vertAlign w:val="superscript"/>
        </w:rPr>
        <w:t>o</w:t>
      </w:r>
      <w:r w:rsidR="000776E7" w:rsidRPr="006C75B5">
        <w:t xml:space="preserve"> </w:t>
      </w:r>
      <w:r w:rsidRPr="006C75B5">
        <w:t>49153/11</w:t>
      </w:r>
      <w:r w:rsidR="000776E7" w:rsidRPr="006C75B5">
        <w:br/>
      </w:r>
      <w:r w:rsidRPr="006C75B5">
        <w:t>Marilena ATTENA</w:t>
      </w:r>
      <w:r w:rsidR="009E5DF3">
        <w:t>’</w:t>
      </w:r>
      <w:r w:rsidRPr="006C75B5">
        <w:t xml:space="preserve"> et autres </w:t>
      </w:r>
      <w:r w:rsidR="00A94C68" w:rsidRPr="006C75B5">
        <w:t xml:space="preserve">contre </w:t>
      </w:r>
      <w:r w:rsidRPr="006C75B5">
        <w:t>l</w:t>
      </w:r>
      <w:r w:rsidR="009E5DF3">
        <w:t>’</w:t>
      </w:r>
      <w:r w:rsidRPr="006C75B5">
        <w:t>Italie</w:t>
      </w:r>
      <w:r w:rsidRPr="006C75B5">
        <w:rPr>
          <w:sz w:val="20"/>
          <w:lang w:eastAsia="en-GB"/>
        </w:rPr>
        <w:br/>
      </w:r>
      <w:r w:rsidRPr="006C75B5">
        <w:t xml:space="preserve">et </w:t>
      </w:r>
      <w:r>
        <w:t>2</w:t>
      </w:r>
      <w:r w:rsidRPr="006C75B5">
        <w:t xml:space="preserve"> autres requêtes</w:t>
      </w:r>
      <w:r w:rsidRPr="006C75B5">
        <w:br/>
        <w:t>(voir liste en annexe)</w:t>
      </w:r>
    </w:p>
    <w:p w:rsidR="006C75B5" w:rsidRPr="006C75B5" w:rsidRDefault="006C75B5" w:rsidP="006C75B5">
      <w:pPr>
        <w:pStyle w:val="JuPara"/>
      </w:pPr>
      <w:r w:rsidRPr="006C75B5">
        <w:t>La Cour européenne des droits de l</w:t>
      </w:r>
      <w:r w:rsidR="009E5DF3">
        <w:t>’</w:t>
      </w:r>
      <w:r w:rsidRPr="006C75B5">
        <w:t>homme (deuxième section)</w:t>
      </w:r>
      <w:smartTag w:uri="urn:schemas-microsoft-com:office:smarttags" w:element="PersonName">
        <w:r w:rsidRPr="006C75B5">
          <w:t>,</w:t>
        </w:r>
      </w:smartTag>
      <w:r w:rsidRPr="006C75B5">
        <w:t xml:space="preserve"> siégeant le </w:t>
      </w:r>
      <w:r w:rsidR="00A103C8">
        <w:t xml:space="preserve">7 mai 2013 </w:t>
      </w:r>
      <w:r w:rsidRPr="006C75B5">
        <w:t>en un comité composé de :</w:t>
      </w:r>
    </w:p>
    <w:p w:rsidR="006C75B5" w:rsidRPr="006C75B5" w:rsidRDefault="006C75B5" w:rsidP="006C75B5">
      <w:pPr>
        <w:pStyle w:val="JuJudges"/>
      </w:pPr>
      <w:r w:rsidRPr="00690CA6">
        <w:tab/>
        <w:t>Dragoljub</w:t>
      </w:r>
      <w:r>
        <w:t xml:space="preserve"> </w:t>
      </w:r>
      <w:r w:rsidRPr="00690CA6">
        <w:t>Popović</w:t>
      </w:r>
      <w:r>
        <w:t>,</w:t>
      </w:r>
      <w:r w:rsidRPr="00690CA6">
        <w:rPr>
          <w:i/>
        </w:rPr>
        <w:t xml:space="preserve"> président,</w:t>
      </w:r>
      <w:r>
        <w:rPr>
          <w:i/>
        </w:rPr>
        <w:br/>
      </w:r>
      <w:r w:rsidRPr="00690CA6">
        <w:tab/>
        <w:t>Paulo</w:t>
      </w:r>
      <w:r>
        <w:t xml:space="preserve"> </w:t>
      </w:r>
      <w:r w:rsidRPr="00690CA6">
        <w:t>Pinto de Albuquerque</w:t>
      </w:r>
      <w:r>
        <w:t>,</w:t>
      </w:r>
      <w:r>
        <w:rPr>
          <w:i/>
        </w:rPr>
        <w:br/>
      </w:r>
      <w:r w:rsidRPr="00690CA6">
        <w:tab/>
        <w:t>Helen</w:t>
      </w:r>
      <w:r>
        <w:t xml:space="preserve"> </w:t>
      </w:r>
      <w:r w:rsidRPr="00690CA6">
        <w:t>Keller</w:t>
      </w:r>
      <w:r>
        <w:t>,</w:t>
      </w:r>
      <w:r w:rsidRPr="00690CA6">
        <w:rPr>
          <w:i/>
        </w:rPr>
        <w:t xml:space="preserve"> juges,</w:t>
      </w:r>
      <w:r w:rsidRPr="006C3E71">
        <w:br/>
      </w:r>
      <w:r w:rsidRPr="006C75B5">
        <w:t>et de Françoise Elens-Passos</w:t>
      </w:r>
      <w:smartTag w:uri="urn:schemas-microsoft-com:office:smarttags" w:element="PersonName">
        <w:r w:rsidRPr="006C75B5">
          <w:t>,</w:t>
        </w:r>
      </w:smartTag>
      <w:r w:rsidRPr="006C75B5">
        <w:t xml:space="preserve"> </w:t>
      </w:r>
      <w:r w:rsidRPr="006C75B5">
        <w:rPr>
          <w:i/>
        </w:rPr>
        <w:t>greffière adjointe</w:t>
      </w:r>
      <w:r w:rsidRPr="006C75B5">
        <w:rPr>
          <w:iCs/>
        </w:rPr>
        <w:t xml:space="preserve"> </w:t>
      </w:r>
      <w:r w:rsidRPr="006C75B5">
        <w:rPr>
          <w:i/>
        </w:rPr>
        <w:t>de section</w:t>
      </w:r>
      <w:r>
        <w:rPr>
          <w:i/>
        </w:rPr>
        <w:t xml:space="preserve"> f.f.</w:t>
      </w:r>
      <w:smartTag w:uri="urn:schemas-microsoft-com:office:smarttags" w:element="PersonName">
        <w:r w:rsidRPr="006C75B5">
          <w:rPr>
            <w:i/>
          </w:rPr>
          <w:t>,</w:t>
        </w:r>
      </w:smartTag>
    </w:p>
    <w:p w:rsidR="006C75B5" w:rsidRPr="006C75B5" w:rsidRDefault="006C75B5" w:rsidP="006C75B5">
      <w:pPr>
        <w:pStyle w:val="JuPara"/>
      </w:pPr>
      <w:r w:rsidRPr="006C75B5">
        <w:t>Vu les requêtes susmentionnées introduites les 12 juillet, 22 septembre et 1</w:t>
      </w:r>
      <w:r w:rsidRPr="006C75B5">
        <w:rPr>
          <w:vertAlign w:val="superscript"/>
        </w:rPr>
        <w:t>er</w:t>
      </w:r>
      <w:r w:rsidRPr="006C75B5">
        <w:t xml:space="preserve"> décembre 2011 :</w:t>
      </w:r>
    </w:p>
    <w:p w:rsidR="006C75B5" w:rsidRPr="006C75B5" w:rsidRDefault="006C75B5" w:rsidP="006C75B5">
      <w:pPr>
        <w:pStyle w:val="JuPara"/>
      </w:pPr>
      <w:r w:rsidRPr="006C75B5">
        <w:t>Vu les déclarations formelles d</w:t>
      </w:r>
      <w:r w:rsidR="009E5DF3">
        <w:t>’</w:t>
      </w:r>
      <w:r w:rsidRPr="006C75B5">
        <w:t>acceptation d</w:t>
      </w:r>
      <w:r w:rsidR="009E5DF3">
        <w:t>’</w:t>
      </w:r>
      <w:r w:rsidRPr="006C75B5">
        <w:t>un règlement amiable des affaires,</w:t>
      </w:r>
    </w:p>
    <w:p w:rsidR="006C75B5" w:rsidRDefault="006C75B5" w:rsidP="006C75B5">
      <w:pPr>
        <w:pStyle w:val="JuPara"/>
      </w:pPr>
      <w:r w:rsidRPr="006C75B5">
        <w:t>Après en avoir délibéré</w:t>
      </w:r>
      <w:smartTag w:uri="urn:schemas-microsoft-com:office:smarttags" w:element="PersonName">
        <w:r w:rsidRPr="006C75B5">
          <w:t>,</w:t>
        </w:r>
      </w:smartTag>
      <w:r w:rsidRPr="006C75B5">
        <w:t xml:space="preserve"> rend la décision suivante :</w:t>
      </w:r>
    </w:p>
    <w:p w:rsidR="006C75B5" w:rsidRPr="006C75B5" w:rsidRDefault="006C75B5" w:rsidP="006C75B5">
      <w:pPr>
        <w:pStyle w:val="JuHHead"/>
      </w:pPr>
      <w:r w:rsidRPr="006C75B5">
        <w:t>FAITS ET PROCÉDURE</w:t>
      </w:r>
    </w:p>
    <w:p w:rsidR="006C75B5" w:rsidRPr="006C75B5" w:rsidRDefault="006C75B5" w:rsidP="006C75B5">
      <w:pPr>
        <w:pStyle w:val="JuPara"/>
      </w:pPr>
      <w:r w:rsidRPr="006C75B5">
        <w:t>La liste des parties requérantes et de leurs représentants, figure en annexe.</w:t>
      </w:r>
    </w:p>
    <w:p w:rsidR="006C75B5" w:rsidRPr="006C75B5" w:rsidRDefault="006C75B5" w:rsidP="006C75B5">
      <w:pPr>
        <w:pStyle w:val="JuPara"/>
      </w:pPr>
      <w:r w:rsidRPr="006C75B5">
        <w:t>Le gouvernement italien (« le Gouvernement ») a été représenté par son agent, M</w:t>
      </w:r>
      <w:r w:rsidRPr="006C75B5">
        <w:rPr>
          <w:vertAlign w:val="superscript"/>
        </w:rPr>
        <w:t>me</w:t>
      </w:r>
      <w:r w:rsidRPr="006C75B5">
        <w:t> E. Spatafora, et son coagent, M</w:t>
      </w:r>
      <w:r w:rsidRPr="006C75B5">
        <w:rPr>
          <w:vertAlign w:val="superscript"/>
        </w:rPr>
        <w:t>me </w:t>
      </w:r>
      <w:r w:rsidRPr="006C75B5">
        <w:t>P. Accardo.</w:t>
      </w:r>
    </w:p>
    <w:p w:rsidR="006C75B5" w:rsidRPr="006C75B5" w:rsidRDefault="006C75B5" w:rsidP="006C75B5">
      <w:pPr>
        <w:pStyle w:val="JuPara"/>
      </w:pPr>
      <w:r w:rsidRPr="006C75B5">
        <w:t>Les requérants ont été partie à des procédures civiles dont ils ont contesté la durée au moyen du recours « Pinto ».</w:t>
      </w:r>
    </w:p>
    <w:p w:rsidR="006C75B5" w:rsidRPr="006C75B5" w:rsidRDefault="006C75B5" w:rsidP="006C75B5">
      <w:pPr>
        <w:pStyle w:val="JuPara"/>
      </w:pPr>
      <w:r w:rsidRPr="006C75B5">
        <w:t>Invoquant l</w:t>
      </w:r>
      <w:r w:rsidR="009E5DF3">
        <w:t>’</w:t>
      </w:r>
      <w:r w:rsidRPr="006C75B5">
        <w:t>article 6 § 1 de la Convention, les requérants (requête n</w:t>
      </w:r>
      <w:r w:rsidRPr="006C75B5">
        <w:rPr>
          <w:vertAlign w:val="superscript"/>
        </w:rPr>
        <w:t>o</w:t>
      </w:r>
      <w:r>
        <w:t> </w:t>
      </w:r>
      <w:r w:rsidRPr="006C75B5">
        <w:t>70383/11) se plaignent de la durée déraisonnable de la procédure principale et de l</w:t>
      </w:r>
      <w:r w:rsidR="009E5DF3">
        <w:t>’</w:t>
      </w:r>
      <w:r w:rsidRPr="006C75B5">
        <w:t>insuffisance du montant « Pinto ».</w:t>
      </w:r>
    </w:p>
    <w:p w:rsidR="006C75B5" w:rsidRPr="006C75B5" w:rsidRDefault="006C75B5" w:rsidP="006C75B5">
      <w:pPr>
        <w:pStyle w:val="JuPara"/>
      </w:pPr>
      <w:r w:rsidRPr="006C75B5">
        <w:t>Invoquant les articles 6 § 1 de la Convention et 1 du Protocole n</w:t>
      </w:r>
      <w:r w:rsidRPr="006C75B5">
        <w:rPr>
          <w:vertAlign w:val="superscript"/>
        </w:rPr>
        <w:t>o</w:t>
      </w:r>
      <w:r>
        <w:t> 1 </w:t>
      </w:r>
      <w:r w:rsidRPr="006C75B5">
        <w:t>(requêtes n</w:t>
      </w:r>
      <w:r w:rsidRPr="006C75B5">
        <w:rPr>
          <w:vertAlign w:val="superscript"/>
        </w:rPr>
        <w:t>os</w:t>
      </w:r>
      <w:r w:rsidRPr="006C75B5">
        <w:t xml:space="preserve"> 70383/11 et 76280/11) ou </w:t>
      </w:r>
      <w:r w:rsidRPr="006C75B5">
        <w:rPr>
          <w:color w:val="000000"/>
        </w:rPr>
        <w:t>seulement l</w:t>
      </w:r>
      <w:r w:rsidR="009E5DF3">
        <w:rPr>
          <w:color w:val="000000"/>
        </w:rPr>
        <w:t>’</w:t>
      </w:r>
      <w:r w:rsidRPr="006C75B5">
        <w:rPr>
          <w:color w:val="000000"/>
        </w:rPr>
        <w:t>article 6 § 1 de la Convention (requête n</w:t>
      </w:r>
      <w:r w:rsidRPr="006C75B5">
        <w:rPr>
          <w:color w:val="000000"/>
          <w:vertAlign w:val="superscript"/>
        </w:rPr>
        <w:t>o</w:t>
      </w:r>
      <w:r w:rsidRPr="006C75B5">
        <w:rPr>
          <w:color w:val="000000"/>
        </w:rPr>
        <w:t xml:space="preserve"> 49153/11)</w:t>
      </w:r>
      <w:r w:rsidRPr="006C75B5">
        <w:t xml:space="preserve">, les requérants se plaignent de </w:t>
      </w:r>
      <w:r>
        <w:t>la non </w:t>
      </w:r>
      <w:r>
        <w:noBreakHyphen/>
        <w:t> </w:t>
      </w:r>
      <w:r w:rsidRPr="006C75B5">
        <w:t>exécution des décisions de cours d</w:t>
      </w:r>
      <w:r w:rsidR="009E5DF3">
        <w:t>’</w:t>
      </w:r>
      <w:r w:rsidRPr="006C75B5">
        <w:t>appel « Pinto ».</w:t>
      </w:r>
    </w:p>
    <w:p w:rsidR="006C75B5" w:rsidRPr="006C75B5" w:rsidRDefault="006C75B5" w:rsidP="006C75B5">
      <w:pPr>
        <w:pStyle w:val="JuPara"/>
        <w:rPr>
          <w:color w:val="000000"/>
        </w:rPr>
      </w:pPr>
      <w:r w:rsidRPr="006C75B5">
        <w:t>Invoquant l</w:t>
      </w:r>
      <w:r w:rsidR="009E5DF3">
        <w:t>’</w:t>
      </w:r>
      <w:r w:rsidRPr="006C75B5">
        <w:t>article 13 de la Convention, un requérant (requête n</w:t>
      </w:r>
      <w:r w:rsidRPr="006C75B5">
        <w:rPr>
          <w:vertAlign w:val="superscript"/>
        </w:rPr>
        <w:t>o</w:t>
      </w:r>
      <w:r>
        <w:t> </w:t>
      </w:r>
      <w:r w:rsidRPr="006C75B5">
        <w:t xml:space="preserve">76280/11) </w:t>
      </w:r>
      <w:r w:rsidRPr="006C75B5">
        <w:rPr>
          <w:color w:val="000000"/>
        </w:rPr>
        <w:t>se plaint de l</w:t>
      </w:r>
      <w:r w:rsidR="009E5DF3">
        <w:rPr>
          <w:color w:val="000000"/>
        </w:rPr>
        <w:t>’</w:t>
      </w:r>
      <w:r w:rsidRPr="006C75B5">
        <w:rPr>
          <w:color w:val="000000"/>
        </w:rPr>
        <w:t>ineffectivité du remède « Pinto » qui découlerait de la non-exécution de la décision de la cour d</w:t>
      </w:r>
      <w:r w:rsidR="009E5DF3">
        <w:rPr>
          <w:color w:val="000000"/>
        </w:rPr>
        <w:t>’</w:t>
      </w:r>
      <w:r w:rsidRPr="006C75B5">
        <w:rPr>
          <w:color w:val="000000"/>
        </w:rPr>
        <w:t>appel « Pinto ».</w:t>
      </w:r>
    </w:p>
    <w:p w:rsidR="006C75B5" w:rsidRPr="006C75B5" w:rsidRDefault="006C75B5" w:rsidP="006C75B5">
      <w:pPr>
        <w:pStyle w:val="JuPara"/>
      </w:pPr>
      <w:r w:rsidRPr="006C75B5">
        <w:rPr>
          <w:color w:val="000000"/>
        </w:rPr>
        <w:t xml:space="preserve">Les 24 et 29 mai, 20 juin, 12 juillet, 11 et 25 septembre 2012, </w:t>
      </w:r>
      <w:r w:rsidRPr="006C75B5">
        <w:t>la Cour a reçu des déclarations de règlement amiable signées par les parties. Par ces déclarations, le Gouvernement s</w:t>
      </w:r>
      <w:r w:rsidR="009E5DF3">
        <w:t>’</w:t>
      </w:r>
      <w:r w:rsidRPr="006C75B5">
        <w:t>est engagé à verser à chaque requérant :</w:t>
      </w:r>
    </w:p>
    <w:p w:rsidR="006C75B5" w:rsidRPr="006C75B5" w:rsidRDefault="006C75B5" w:rsidP="006C75B5">
      <w:pPr>
        <w:pStyle w:val="JuPara"/>
      </w:pPr>
      <w:r w:rsidRPr="006C75B5">
        <w:t>-  les sommes accordées par les cours d</w:t>
      </w:r>
      <w:r w:rsidR="009E5DF3">
        <w:t>’</w:t>
      </w:r>
      <w:r w:rsidRPr="006C75B5">
        <w:t>appel « Pinto », réévaluées et majorées des intérêts légaux à la date du paiement, déduction faite de tout montant éventuellement déjà payé en exécution des décisions en question ;</w:t>
      </w:r>
    </w:p>
    <w:p w:rsidR="006C75B5" w:rsidRPr="006C75B5" w:rsidRDefault="006C75B5" w:rsidP="006C75B5">
      <w:pPr>
        <w:pStyle w:val="JuPara"/>
      </w:pPr>
      <w:r w:rsidRPr="006C75B5">
        <w:t>-  200 EUR (deux cents euros) couvrant tout préjudice moral découlant du retard dans le paiement des sommes Pinto, plus tout montant pouvant être dû à titre d</w:t>
      </w:r>
      <w:r w:rsidR="009E5DF3">
        <w:t>’</w:t>
      </w:r>
      <w:r w:rsidRPr="006C75B5">
        <w:t>impôt par les requérants.</w:t>
      </w:r>
    </w:p>
    <w:p w:rsidR="006C75B5" w:rsidRPr="006C75B5" w:rsidRDefault="006C75B5" w:rsidP="006C75B5">
      <w:pPr>
        <w:pStyle w:val="JuPara"/>
      </w:pPr>
      <w:r w:rsidRPr="006C75B5">
        <w:t>Par ces déclarations, le Gouvernement s</w:t>
      </w:r>
      <w:r w:rsidR="009E5DF3">
        <w:t>’</w:t>
      </w:r>
      <w:r w:rsidRPr="006C75B5">
        <w:t>est aussi engagé à verser 800</w:t>
      </w:r>
      <w:r>
        <w:t> </w:t>
      </w:r>
      <w:r w:rsidRPr="006C75B5">
        <w:t>EUR (huit cents euros) conjointement aux requérants pour la requête n</w:t>
      </w:r>
      <w:r w:rsidRPr="006C75B5">
        <w:rPr>
          <w:vertAlign w:val="superscript"/>
        </w:rPr>
        <w:t>o</w:t>
      </w:r>
      <w:r>
        <w:t> </w:t>
      </w:r>
      <w:r w:rsidRPr="006C75B5">
        <w:t>49153/11, 300 EUR (trois cents euros) conjointement aux requérantes pour la requête n</w:t>
      </w:r>
      <w:r w:rsidRPr="006C75B5">
        <w:rPr>
          <w:vertAlign w:val="superscript"/>
        </w:rPr>
        <w:t>o</w:t>
      </w:r>
      <w:r w:rsidRPr="006C75B5">
        <w:t xml:space="preserve"> 70383/11 ainsi que 50 EUR (cinquante euros) au requérant pour la requête n</w:t>
      </w:r>
      <w:r w:rsidRPr="006C75B5">
        <w:rPr>
          <w:vertAlign w:val="superscript"/>
        </w:rPr>
        <w:t xml:space="preserve">o </w:t>
      </w:r>
      <w:r w:rsidRPr="006C75B5">
        <w:t>76280/11 couvrant l</w:t>
      </w:r>
      <w:r w:rsidR="009E5DF3">
        <w:t>’</w:t>
      </w:r>
      <w:r w:rsidRPr="006C75B5">
        <w:t>ensemble des frais et dépens, plus tout montant pouvant être dû à titre d</w:t>
      </w:r>
      <w:r w:rsidR="009E5DF3">
        <w:t>’</w:t>
      </w:r>
      <w:r w:rsidRPr="006C75B5">
        <w:t>impôt par les requérants.</w:t>
      </w:r>
    </w:p>
    <w:p w:rsidR="006C75B5" w:rsidRPr="006C75B5" w:rsidRDefault="006C75B5" w:rsidP="006C75B5">
      <w:pPr>
        <w:pStyle w:val="JuPara"/>
      </w:pPr>
      <w:r w:rsidRPr="006C75B5">
        <w:t>Les requérants ont renoncé à toute autre prétention à l</w:t>
      </w:r>
      <w:r w:rsidR="009E5DF3">
        <w:t>’</w:t>
      </w:r>
      <w:r w:rsidRPr="006C75B5">
        <w:t>encontre de l</w:t>
      </w:r>
      <w:r w:rsidR="009E5DF3">
        <w:t>’</w:t>
      </w:r>
      <w:r w:rsidRPr="006C75B5">
        <w:t>Italie à propos des faits à l</w:t>
      </w:r>
      <w:r w:rsidR="009E5DF3">
        <w:t>’</w:t>
      </w:r>
      <w:r w:rsidRPr="006C75B5">
        <w:t>origine de leurs requêtes. Lesdites sommes seront payées dans les trois mois suivant la date de la notification de la décision de la Cour rendue conformément à l</w:t>
      </w:r>
      <w:r w:rsidR="009E5DF3">
        <w:rPr>
          <w:rStyle w:val="JuParaChar1"/>
        </w:rPr>
        <w:t>’</w:t>
      </w:r>
      <w:r w:rsidRPr="006C75B5">
        <w:rPr>
          <w:rStyle w:val="JuParaChar1"/>
        </w:rPr>
        <w:t>article 37 § 1 de la Convention européenne des droits de l</w:t>
      </w:r>
      <w:r w:rsidR="009E5DF3">
        <w:rPr>
          <w:rStyle w:val="JuParaChar1"/>
        </w:rPr>
        <w:t>’</w:t>
      </w:r>
      <w:r w:rsidRPr="006C75B5">
        <w:rPr>
          <w:rStyle w:val="JuParaChar1"/>
        </w:rPr>
        <w:t>homme. A défaut</w:t>
      </w:r>
      <w:r w:rsidRPr="006C75B5">
        <w:t xml:space="preserve"> de règlement dans ledit délai, le Gouvernement s</w:t>
      </w:r>
      <w:r w:rsidR="009E5DF3">
        <w:t>’</w:t>
      </w:r>
      <w:r w:rsidRPr="006C75B5">
        <w:t>engage à verser, à compter de l</w:t>
      </w:r>
      <w:r w:rsidR="009E5DF3">
        <w:t>’</w:t>
      </w:r>
      <w:r w:rsidRPr="006C75B5">
        <w:t>expiration de celui-ci et jusqu</w:t>
      </w:r>
      <w:r w:rsidR="009E5DF3">
        <w:t>’</w:t>
      </w:r>
      <w:r w:rsidRPr="006C75B5">
        <w:t>au règlement effectif des sommes en question, un intérêt simple à un taux égal à celui de la facilité de prêt marginal de la Banque centrale européenne, augmenté de trois points de pourcentage. Ces versements vaudront règlement définitif des affaires.</w:t>
      </w:r>
    </w:p>
    <w:p w:rsidR="006C75B5" w:rsidRPr="006C75B5" w:rsidRDefault="006C75B5" w:rsidP="006C75B5">
      <w:pPr>
        <w:pStyle w:val="JuHHead"/>
      </w:pPr>
      <w:r w:rsidRPr="006C75B5">
        <w:t>EN DROIT</w:t>
      </w:r>
    </w:p>
    <w:p w:rsidR="006C75B5" w:rsidRPr="006C75B5" w:rsidRDefault="006C75B5" w:rsidP="006C75B5">
      <w:pPr>
        <w:pStyle w:val="JuPara"/>
      </w:pPr>
      <w:r w:rsidRPr="006C75B5">
        <w:t>Compte tenu de la similitude des faits et des questions juridiques posées, la Cour estime qu</w:t>
      </w:r>
      <w:r w:rsidR="009E5DF3">
        <w:t>’</w:t>
      </w:r>
      <w:r w:rsidRPr="006C75B5">
        <w:t>il y a lieu de joindre les requêtes et de les examiner ensemble.</w:t>
      </w:r>
    </w:p>
    <w:p w:rsidR="006C75B5" w:rsidRPr="006C75B5" w:rsidRDefault="006C75B5" w:rsidP="006C75B5">
      <w:pPr>
        <w:pStyle w:val="JuPara"/>
      </w:pPr>
      <w:r w:rsidRPr="006C75B5">
        <w:t>La Cour prend acte des règlements amiables auxquels sont parvenues les parties. Elle estime que ceux-ci s</w:t>
      </w:r>
      <w:r w:rsidR="009E5DF3">
        <w:t>’</w:t>
      </w:r>
      <w:r w:rsidRPr="006C75B5">
        <w:t>inspirent du respect des droits de l</w:t>
      </w:r>
      <w:r w:rsidR="009E5DF3">
        <w:t>’</w:t>
      </w:r>
      <w:r w:rsidRPr="006C75B5">
        <w:t>homme tels que les reconnaissent la Convention et ses protocoles et n</w:t>
      </w:r>
      <w:r w:rsidR="009E5DF3">
        <w:t>’</w:t>
      </w:r>
      <w:r w:rsidRPr="006C75B5">
        <w:t>aperçoit, par ailleurs, aucun motif justifiant de poursuivre l</w:t>
      </w:r>
      <w:r w:rsidR="009E5DF3">
        <w:t>’</w:t>
      </w:r>
      <w:r w:rsidRPr="006C75B5">
        <w:t xml:space="preserve">examen des requêtes (article </w:t>
      </w:r>
      <w:r w:rsidR="0015481C">
        <w:t>39</w:t>
      </w:r>
      <w:r w:rsidRPr="006C75B5">
        <w:t xml:space="preserve"> de la Convention). En conséquence, il convient de rayer les requêtes du rôle.</w:t>
      </w:r>
    </w:p>
    <w:p w:rsidR="006C75B5" w:rsidRPr="006C75B5" w:rsidRDefault="006C75B5" w:rsidP="006C75B5">
      <w:pPr>
        <w:pStyle w:val="JuParaLast"/>
      </w:pPr>
      <w:r w:rsidRPr="006C75B5">
        <w:t>Par ces motifs, la Cour, à l</w:t>
      </w:r>
      <w:r w:rsidR="009E5DF3">
        <w:t>’</w:t>
      </w:r>
      <w:r w:rsidRPr="006C75B5">
        <w:t>unanimité,</w:t>
      </w:r>
    </w:p>
    <w:p w:rsidR="006C75B5" w:rsidRPr="006C75B5" w:rsidRDefault="006C75B5" w:rsidP="009E5DF3">
      <w:pPr>
        <w:pStyle w:val="DecList"/>
      </w:pPr>
      <w:r w:rsidRPr="006C75B5">
        <w:rPr>
          <w:i/>
        </w:rPr>
        <w:t xml:space="preserve">Décide </w:t>
      </w:r>
      <w:r w:rsidRPr="006C75B5">
        <w:t>de joindre les requêtes ;</w:t>
      </w:r>
    </w:p>
    <w:p w:rsidR="006C75B5" w:rsidRPr="006C75B5" w:rsidRDefault="006C75B5" w:rsidP="009E5DF3">
      <w:pPr>
        <w:pStyle w:val="DecList"/>
      </w:pPr>
      <w:r w:rsidRPr="006C75B5">
        <w:rPr>
          <w:i/>
        </w:rPr>
        <w:t>Décide</w:t>
      </w:r>
      <w:r w:rsidRPr="006C75B5">
        <w:t xml:space="preserve"> de rayer les requêtes du rôle en application de l</w:t>
      </w:r>
      <w:r w:rsidR="009E5DF3">
        <w:t>’</w:t>
      </w:r>
      <w:r w:rsidRPr="006C75B5">
        <w:t>article 39 de la Convention.</w:t>
      </w:r>
    </w:p>
    <w:p w:rsidR="006C75B5" w:rsidRPr="006C3E71" w:rsidRDefault="006C75B5" w:rsidP="006C75B5">
      <w:pPr>
        <w:pStyle w:val="JuSigned"/>
        <w:tabs>
          <w:tab w:val="clear" w:pos="851"/>
          <w:tab w:val="center" w:pos="1134"/>
          <w:tab w:val="center" w:pos="7938"/>
        </w:tabs>
      </w:pPr>
      <w:r w:rsidRPr="006C3E71">
        <w:tab/>
        <w:t>Françoise Elens-Passos</w:t>
      </w:r>
      <w:r w:rsidRPr="006C3E71">
        <w:tab/>
        <w:t>Dragoljub Popović</w:t>
      </w:r>
      <w:r w:rsidRPr="006C3E71">
        <w:br/>
      </w:r>
      <w:r w:rsidRPr="006C3E71">
        <w:tab/>
      </w:r>
      <w:r>
        <w:t>Greffière adjointe f.f.</w:t>
      </w:r>
      <w:r w:rsidRPr="006C3E71">
        <w:tab/>
      </w:r>
      <w:r w:rsidRPr="006C3E71">
        <w:rPr>
          <w:szCs w:val="24"/>
        </w:rPr>
        <w:t>P</w:t>
      </w:r>
      <w:r w:rsidRPr="006C3E71">
        <w:t>résident</w:t>
      </w:r>
    </w:p>
    <w:p w:rsidR="006C75B5" w:rsidRPr="006C75B5" w:rsidRDefault="006C75B5" w:rsidP="00407DAE"/>
    <w:p w:rsidR="006C75B5" w:rsidRPr="006C75B5" w:rsidRDefault="006C75B5" w:rsidP="00407DAE">
      <w:pPr>
        <w:jc w:val="center"/>
        <w:sectPr w:rsidR="006C75B5" w:rsidRPr="006C75B5">
          <w:headerReference w:type="even" r:id="rId10"/>
          <w:head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</w:sectPr>
      </w:pPr>
    </w:p>
    <w:p w:rsidR="006C75B5" w:rsidRPr="006C75B5" w:rsidRDefault="006C75B5" w:rsidP="00407DAE">
      <w:pPr>
        <w:jc w:val="center"/>
      </w:pPr>
      <w:r w:rsidRPr="006C75B5">
        <w:br w:type="page"/>
      </w:r>
    </w:p>
    <w:p w:rsidR="002E7061" w:rsidRPr="006C75B5" w:rsidRDefault="006C75B5" w:rsidP="00407DAE">
      <w:pPr>
        <w:jc w:val="center"/>
      </w:pPr>
      <w:r w:rsidRPr="006C75B5">
        <w:rPr>
          <w:rStyle w:val="JuTitleChar"/>
        </w:rPr>
        <w:t>Annexe</w:t>
      </w:r>
    </w:p>
    <w:p w:rsidR="006C75B5" w:rsidRPr="006C75B5" w:rsidRDefault="006C75B5" w:rsidP="006C75B5"/>
    <w:p w:rsidR="006C75B5" w:rsidRPr="006C75B5" w:rsidRDefault="006C75B5" w:rsidP="006C7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319"/>
        <w:gridCol w:w="1390"/>
        <w:gridCol w:w="2148"/>
        <w:gridCol w:w="2097"/>
      </w:tblGrid>
      <w:tr w:rsidR="006C75B5" w:rsidRPr="005D5641" w:rsidTr="005D5641">
        <w:trPr>
          <w:tblHeader/>
        </w:trPr>
        <w:tc>
          <w:tcPr>
            <w:tcW w:w="504" w:type="dxa"/>
            <w:shd w:val="clear" w:color="auto" w:fill="A0A0A0"/>
          </w:tcPr>
          <w:p w:rsidR="006C75B5" w:rsidRPr="005D5641" w:rsidRDefault="006C75B5" w:rsidP="005D5641">
            <w:pPr>
              <w:rPr>
                <w:b/>
              </w:rPr>
            </w:pPr>
            <w:bookmarkStart w:id="0" w:name="TableStart"/>
            <w:bookmarkEnd w:id="0"/>
            <w:r w:rsidRPr="005D5641">
              <w:rPr>
                <w:b/>
              </w:rPr>
              <w:t>N</w:t>
            </w:r>
            <w:r w:rsidRPr="005D5641">
              <w:rPr>
                <w:b/>
                <w:vertAlign w:val="superscript"/>
              </w:rPr>
              <w:t>o</w:t>
            </w:r>
          </w:p>
        </w:tc>
        <w:tc>
          <w:tcPr>
            <w:tcW w:w="1440" w:type="dxa"/>
            <w:shd w:val="clear" w:color="auto" w:fill="A0A0A0"/>
          </w:tcPr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Requête N</w:t>
            </w:r>
            <w:r w:rsidRPr="005D5641">
              <w:rPr>
                <w:b/>
                <w:vertAlign w:val="superscript"/>
              </w:rPr>
              <w:t>o</w:t>
            </w:r>
          </w:p>
        </w:tc>
        <w:tc>
          <w:tcPr>
            <w:tcW w:w="1440" w:type="dxa"/>
            <w:shd w:val="clear" w:color="auto" w:fill="A0A0A0"/>
          </w:tcPr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Introduite le</w:t>
            </w:r>
          </w:p>
        </w:tc>
        <w:tc>
          <w:tcPr>
            <w:tcW w:w="2517" w:type="dxa"/>
            <w:shd w:val="clear" w:color="auto" w:fill="A0A0A0"/>
          </w:tcPr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Requérant</w:t>
            </w:r>
          </w:p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Date de naissance</w:t>
            </w:r>
          </w:p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Lieu de résidence</w:t>
            </w:r>
          </w:p>
        </w:tc>
        <w:tc>
          <w:tcPr>
            <w:tcW w:w="2517" w:type="dxa"/>
            <w:shd w:val="clear" w:color="auto" w:fill="A0A0A0"/>
          </w:tcPr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Représenté par</w:t>
            </w:r>
          </w:p>
        </w:tc>
      </w:tr>
      <w:tr w:rsidR="006C75B5" w:rsidRPr="006C75B5" w:rsidTr="005D5641">
        <w:tc>
          <w:tcPr>
            <w:tcW w:w="504" w:type="dxa"/>
            <w:shd w:val="clear" w:color="auto" w:fill="auto"/>
          </w:tcPr>
          <w:p w:rsidR="006C75B5" w:rsidRPr="005D5641" w:rsidRDefault="006C75B5" w:rsidP="005D5641">
            <w:pPr>
              <w:ind w:left="284"/>
              <w:rPr>
                <w:b/>
              </w:rPr>
            </w:pPr>
            <w:r w:rsidRPr="005D5641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C75B5" w:rsidRPr="006C75B5" w:rsidRDefault="006C75B5" w:rsidP="005D5641">
            <w:r w:rsidRPr="006C75B5">
              <w:t>49153/11</w:t>
            </w:r>
          </w:p>
        </w:tc>
        <w:tc>
          <w:tcPr>
            <w:tcW w:w="1440" w:type="dxa"/>
            <w:shd w:val="clear" w:color="auto" w:fill="auto"/>
          </w:tcPr>
          <w:p w:rsidR="006C75B5" w:rsidRPr="006C75B5" w:rsidRDefault="006C75B5" w:rsidP="005D5641">
            <w:r w:rsidRPr="006C75B5">
              <w:t>12/07/2011</w:t>
            </w:r>
          </w:p>
        </w:tc>
        <w:tc>
          <w:tcPr>
            <w:tcW w:w="2517" w:type="dxa"/>
            <w:shd w:val="clear" w:color="auto" w:fill="auto"/>
          </w:tcPr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Marilena ATTENA</w:t>
            </w:r>
            <w:r w:rsidR="009E5DF3">
              <w:rPr>
                <w:b/>
              </w:rPr>
              <w:t>’</w:t>
            </w:r>
          </w:p>
          <w:p w:rsidR="006C75B5" w:rsidRPr="006C75B5" w:rsidRDefault="006C75B5" w:rsidP="005D5641">
            <w:r w:rsidRPr="006C75B5">
              <w:t>14/09/1951</w:t>
            </w:r>
          </w:p>
          <w:p w:rsidR="006C75B5" w:rsidRPr="006C75B5" w:rsidRDefault="006C75B5" w:rsidP="005D5641">
            <w:r w:rsidRPr="006C75B5">
              <w:t>San Lucido</w:t>
            </w:r>
          </w:p>
          <w:p w:rsidR="006C75B5" w:rsidRPr="006C75B5" w:rsidRDefault="006C75B5" w:rsidP="005D5641"/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Anna Sofia CIRILLO</w:t>
            </w:r>
          </w:p>
          <w:p w:rsidR="006C75B5" w:rsidRPr="006C75B5" w:rsidRDefault="006C75B5" w:rsidP="005D5641">
            <w:r w:rsidRPr="006C75B5">
              <w:t>23/09/1953</w:t>
            </w:r>
          </w:p>
          <w:p w:rsidR="006C75B5" w:rsidRPr="006C75B5" w:rsidRDefault="006C75B5" w:rsidP="005D5641">
            <w:r w:rsidRPr="006C75B5">
              <w:t>Gènes</w:t>
            </w:r>
          </w:p>
          <w:p w:rsidR="006C75B5" w:rsidRPr="006C75B5" w:rsidRDefault="006C75B5" w:rsidP="005D5641"/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Emilio ATTENA</w:t>
            </w:r>
            <w:r w:rsidR="009E5DF3">
              <w:rPr>
                <w:b/>
              </w:rPr>
              <w:t>’</w:t>
            </w:r>
          </w:p>
          <w:p w:rsidR="006C75B5" w:rsidRPr="006C75B5" w:rsidRDefault="006C75B5" w:rsidP="005D5641">
            <w:r w:rsidRPr="006C75B5">
              <w:t>04/02/1975</w:t>
            </w:r>
          </w:p>
          <w:p w:rsidR="006C75B5" w:rsidRPr="006C75B5" w:rsidRDefault="006C75B5" w:rsidP="005D5641">
            <w:r w:rsidRPr="006C75B5">
              <w:t>Gênes</w:t>
            </w:r>
          </w:p>
          <w:p w:rsidR="006C75B5" w:rsidRPr="006C75B5" w:rsidRDefault="006C75B5" w:rsidP="005D5641"/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Emanuele ATTENA</w:t>
            </w:r>
            <w:r w:rsidR="009E5DF3">
              <w:rPr>
                <w:b/>
              </w:rPr>
              <w:t>’</w:t>
            </w:r>
          </w:p>
          <w:p w:rsidR="006C75B5" w:rsidRPr="006C75B5" w:rsidRDefault="006C75B5" w:rsidP="005D5641">
            <w:r w:rsidRPr="006C75B5">
              <w:t>21/09/1984</w:t>
            </w:r>
          </w:p>
          <w:p w:rsidR="006C75B5" w:rsidRPr="006C75B5" w:rsidRDefault="006C75B5" w:rsidP="005D5641">
            <w:r w:rsidRPr="006C75B5">
              <w:t>Gênes</w:t>
            </w:r>
          </w:p>
          <w:p w:rsidR="006C75B5" w:rsidRPr="006C75B5" w:rsidRDefault="006C75B5" w:rsidP="005D5641"/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Oliva ATTENA</w:t>
            </w:r>
            <w:r w:rsidR="009E5DF3">
              <w:rPr>
                <w:b/>
              </w:rPr>
              <w:t>’</w:t>
            </w:r>
          </w:p>
          <w:p w:rsidR="006C75B5" w:rsidRPr="006C75B5" w:rsidRDefault="006C75B5" w:rsidP="005D5641">
            <w:r w:rsidRPr="006C75B5">
              <w:t>03/11/1944</w:t>
            </w:r>
          </w:p>
          <w:p w:rsidR="006C75B5" w:rsidRPr="006C75B5" w:rsidRDefault="006C75B5" w:rsidP="005D5641">
            <w:r w:rsidRPr="006C75B5">
              <w:t>Amantea</w:t>
            </w:r>
          </w:p>
          <w:p w:rsidR="006C75B5" w:rsidRPr="006C75B5" w:rsidRDefault="006C75B5" w:rsidP="005D5641"/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Giovannina ATTINA</w:t>
            </w:r>
            <w:r w:rsidR="009E5DF3">
              <w:rPr>
                <w:b/>
              </w:rPr>
              <w:t>’</w:t>
            </w:r>
          </w:p>
          <w:p w:rsidR="006C75B5" w:rsidRPr="006C75B5" w:rsidRDefault="006C75B5" w:rsidP="005D5641">
            <w:r w:rsidRPr="006C75B5">
              <w:t>15/06/1942</w:t>
            </w:r>
          </w:p>
          <w:p w:rsidR="006C75B5" w:rsidRPr="006C75B5" w:rsidRDefault="006C75B5" w:rsidP="005D5641">
            <w:r w:rsidRPr="006C75B5">
              <w:t>San Lucido</w:t>
            </w:r>
          </w:p>
          <w:p w:rsidR="006C75B5" w:rsidRPr="006C75B5" w:rsidRDefault="006C75B5" w:rsidP="005D5641"/>
          <w:p w:rsidR="006C75B5" w:rsidRPr="006C75B5" w:rsidRDefault="006C75B5" w:rsidP="005D5641"/>
        </w:tc>
        <w:tc>
          <w:tcPr>
            <w:tcW w:w="2517" w:type="dxa"/>
            <w:shd w:val="clear" w:color="auto" w:fill="auto"/>
          </w:tcPr>
          <w:p w:rsidR="006C75B5" w:rsidRPr="006C75B5" w:rsidRDefault="006C75B5" w:rsidP="005D5641">
            <w:r w:rsidRPr="006C75B5">
              <w:t>Claudia PIZZURRO</w:t>
            </w:r>
          </w:p>
        </w:tc>
      </w:tr>
      <w:tr w:rsidR="006C75B5" w:rsidRPr="006C75B5" w:rsidTr="005D5641">
        <w:tc>
          <w:tcPr>
            <w:tcW w:w="504" w:type="dxa"/>
            <w:shd w:val="clear" w:color="auto" w:fill="auto"/>
          </w:tcPr>
          <w:p w:rsidR="006C75B5" w:rsidRPr="005D5641" w:rsidRDefault="006C75B5" w:rsidP="005D5641">
            <w:pPr>
              <w:ind w:left="284"/>
              <w:rPr>
                <w:b/>
              </w:rPr>
            </w:pPr>
            <w:r w:rsidRPr="005D5641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C75B5" w:rsidRPr="006C75B5" w:rsidRDefault="006C75B5" w:rsidP="005D5641">
            <w:r w:rsidRPr="006C75B5">
              <w:t>70383/11</w:t>
            </w:r>
          </w:p>
        </w:tc>
        <w:tc>
          <w:tcPr>
            <w:tcW w:w="1440" w:type="dxa"/>
            <w:shd w:val="clear" w:color="auto" w:fill="auto"/>
          </w:tcPr>
          <w:p w:rsidR="006C75B5" w:rsidRPr="006C75B5" w:rsidRDefault="006C75B5" w:rsidP="005D5641">
            <w:r w:rsidRPr="006C75B5">
              <w:t>22/09/2011</w:t>
            </w:r>
          </w:p>
        </w:tc>
        <w:tc>
          <w:tcPr>
            <w:tcW w:w="2517" w:type="dxa"/>
            <w:shd w:val="clear" w:color="auto" w:fill="auto"/>
          </w:tcPr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Franca CARERI</w:t>
            </w:r>
          </w:p>
          <w:p w:rsidR="006C75B5" w:rsidRPr="006C75B5" w:rsidRDefault="006C75B5" w:rsidP="005D5641">
            <w:r w:rsidRPr="006C75B5">
              <w:t>07/05/1937</w:t>
            </w:r>
          </w:p>
          <w:p w:rsidR="006C75B5" w:rsidRPr="006C75B5" w:rsidRDefault="006C75B5" w:rsidP="005D5641">
            <w:r w:rsidRPr="006C75B5">
              <w:t>Castiglione Della Pescaia</w:t>
            </w:r>
          </w:p>
          <w:p w:rsidR="006C75B5" w:rsidRPr="006C75B5" w:rsidRDefault="006C75B5" w:rsidP="005D5641"/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Maria TOTI</w:t>
            </w:r>
          </w:p>
          <w:p w:rsidR="006C75B5" w:rsidRPr="006C75B5" w:rsidRDefault="006C75B5" w:rsidP="005D5641">
            <w:r w:rsidRPr="006C75B5">
              <w:t>29/08/1962</w:t>
            </w:r>
          </w:p>
          <w:p w:rsidR="006C75B5" w:rsidRPr="006C75B5" w:rsidRDefault="006C75B5" w:rsidP="005D5641">
            <w:r w:rsidRPr="006C75B5">
              <w:t>Grosseto</w:t>
            </w:r>
          </w:p>
          <w:p w:rsidR="006C75B5" w:rsidRPr="006C75B5" w:rsidRDefault="006C75B5" w:rsidP="005D5641"/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Silvia TOTI</w:t>
            </w:r>
          </w:p>
          <w:p w:rsidR="006C75B5" w:rsidRPr="006C75B5" w:rsidRDefault="006C75B5" w:rsidP="005D5641">
            <w:r w:rsidRPr="006C75B5">
              <w:t>31/01/1967</w:t>
            </w:r>
          </w:p>
          <w:p w:rsidR="006C75B5" w:rsidRPr="006C75B5" w:rsidRDefault="006C75B5" w:rsidP="005D5641">
            <w:r w:rsidRPr="006C75B5">
              <w:t>Castiglione Della Pescaia</w:t>
            </w:r>
          </w:p>
          <w:p w:rsidR="006C75B5" w:rsidRPr="006C75B5" w:rsidRDefault="006C75B5" w:rsidP="005D5641"/>
          <w:p w:rsidR="006C75B5" w:rsidRPr="006C75B5" w:rsidRDefault="006C75B5" w:rsidP="005D5641"/>
        </w:tc>
        <w:tc>
          <w:tcPr>
            <w:tcW w:w="2517" w:type="dxa"/>
            <w:shd w:val="clear" w:color="auto" w:fill="auto"/>
          </w:tcPr>
          <w:p w:rsidR="006C75B5" w:rsidRPr="006C75B5" w:rsidRDefault="006C75B5" w:rsidP="005D5641">
            <w:r w:rsidRPr="006C75B5">
              <w:t>Vittorio PERONACI</w:t>
            </w:r>
          </w:p>
        </w:tc>
      </w:tr>
      <w:tr w:rsidR="006C75B5" w:rsidRPr="006C75B5" w:rsidTr="005D5641">
        <w:tc>
          <w:tcPr>
            <w:tcW w:w="504" w:type="dxa"/>
            <w:shd w:val="clear" w:color="auto" w:fill="auto"/>
          </w:tcPr>
          <w:p w:rsidR="006C75B5" w:rsidRPr="005D5641" w:rsidRDefault="006C75B5" w:rsidP="005D5641">
            <w:pPr>
              <w:ind w:left="284"/>
              <w:rPr>
                <w:b/>
              </w:rPr>
            </w:pPr>
            <w:r w:rsidRPr="005D5641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C75B5" w:rsidRPr="006C75B5" w:rsidRDefault="006C75B5" w:rsidP="005D5641">
            <w:r w:rsidRPr="006C75B5">
              <w:t>76280/11</w:t>
            </w:r>
          </w:p>
        </w:tc>
        <w:tc>
          <w:tcPr>
            <w:tcW w:w="1440" w:type="dxa"/>
            <w:shd w:val="clear" w:color="auto" w:fill="auto"/>
          </w:tcPr>
          <w:p w:rsidR="006C75B5" w:rsidRPr="006C75B5" w:rsidRDefault="006C75B5" w:rsidP="005D5641">
            <w:r w:rsidRPr="006C75B5">
              <w:t>01/12/2011</w:t>
            </w:r>
          </w:p>
        </w:tc>
        <w:tc>
          <w:tcPr>
            <w:tcW w:w="2517" w:type="dxa"/>
            <w:shd w:val="clear" w:color="auto" w:fill="auto"/>
          </w:tcPr>
          <w:p w:rsidR="006C75B5" w:rsidRPr="005D5641" w:rsidRDefault="006C75B5" w:rsidP="005D5641">
            <w:pPr>
              <w:rPr>
                <w:b/>
              </w:rPr>
            </w:pPr>
            <w:r w:rsidRPr="005D5641">
              <w:rPr>
                <w:b/>
              </w:rPr>
              <w:t>Vincenzo CASTALDO</w:t>
            </w:r>
          </w:p>
          <w:p w:rsidR="006C75B5" w:rsidRPr="006C75B5" w:rsidRDefault="006C75B5" w:rsidP="005D5641">
            <w:r w:rsidRPr="006C75B5">
              <w:t>29/09/1941</w:t>
            </w:r>
          </w:p>
          <w:p w:rsidR="006C75B5" w:rsidRPr="006C75B5" w:rsidRDefault="006C75B5" w:rsidP="005D5641">
            <w:r w:rsidRPr="006C75B5">
              <w:t>Gaeta</w:t>
            </w:r>
          </w:p>
          <w:p w:rsidR="006C75B5" w:rsidRPr="006C75B5" w:rsidRDefault="006C75B5" w:rsidP="005D5641"/>
        </w:tc>
        <w:tc>
          <w:tcPr>
            <w:tcW w:w="2517" w:type="dxa"/>
            <w:shd w:val="clear" w:color="auto" w:fill="auto"/>
          </w:tcPr>
          <w:p w:rsidR="006C75B5" w:rsidRPr="006C75B5" w:rsidRDefault="006C75B5" w:rsidP="005D5641">
            <w:bookmarkStart w:id="1" w:name="TableEnd"/>
            <w:bookmarkEnd w:id="1"/>
          </w:p>
        </w:tc>
      </w:tr>
    </w:tbl>
    <w:p w:rsidR="006C75B5" w:rsidRPr="006C75B5" w:rsidRDefault="006C75B5" w:rsidP="006C75B5"/>
    <w:p w:rsidR="002E7061" w:rsidRPr="006C75B5" w:rsidRDefault="002E7061" w:rsidP="002E7061"/>
    <w:sectPr w:rsidR="002E7061" w:rsidRPr="006C75B5" w:rsidSect="001002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type w:val="continuous"/>
      <w:pgSz w:w="11906" w:h="16838" w:code="9"/>
      <w:pgMar w:top="2274" w:right="2274" w:bottom="2274" w:left="2274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AC" w:rsidRDefault="00A133AC">
      <w:r>
        <w:separator/>
      </w:r>
    </w:p>
  </w:endnote>
  <w:endnote w:type="continuationSeparator" w:id="0">
    <w:p w:rsidR="00A133AC" w:rsidRDefault="00A1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Pr="006C75B5" w:rsidRDefault="00B85E54" w:rsidP="005D5641">
    <w:pPr>
      <w:jc w:val="center"/>
    </w:pPr>
    <w:r>
      <w:rPr>
        <w:noProof/>
        <w:lang w:val="en-US" w:eastAsia="ja-JP"/>
      </w:rPr>
      <w:drawing>
        <wp:inline distT="0" distB="0" distL="0" distR="0">
          <wp:extent cx="684530" cy="419100"/>
          <wp:effectExtent l="0" t="0" r="0" b="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5B5" w:rsidRPr="003D0B23" w:rsidRDefault="006C75B5" w:rsidP="003D0B2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Default="006C7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Default="006C75B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Pr="006C75B5" w:rsidRDefault="00B85E54" w:rsidP="005D5641">
    <w:pPr>
      <w:jc w:val="center"/>
    </w:pPr>
    <w:r>
      <w:rPr>
        <w:noProof/>
        <w:lang w:val="en-US" w:eastAsia="ja-JP"/>
      </w:rPr>
      <w:drawing>
        <wp:inline distT="0" distB="0" distL="0" distR="0">
          <wp:extent cx="684530" cy="419100"/>
          <wp:effectExtent l="0" t="0" r="0" b="0"/>
          <wp:docPr id="4" name="Picture 4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5B5" w:rsidRPr="003D0B23" w:rsidRDefault="006C75B5" w:rsidP="003D0B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AC" w:rsidRDefault="00A133AC">
      <w:r>
        <w:separator/>
      </w:r>
    </w:p>
  </w:footnote>
  <w:footnote w:type="continuationSeparator" w:id="0">
    <w:p w:rsidR="00A133AC" w:rsidRDefault="00A1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Pr="006C75B5" w:rsidRDefault="006C75B5" w:rsidP="00A04C71">
    <w:pPr>
      <w:pStyle w:val="Header"/>
    </w:pPr>
    <w:r>
      <w:rPr>
        <w:rStyle w:val="PageNumber"/>
        <w:lang w:val="en-US"/>
      </w:rPr>
      <w:fldChar w:fldCharType="begin"/>
    </w:r>
    <w:r w:rsidRPr="006C75B5">
      <w:rPr>
        <w:rStyle w:val="PageNumber"/>
      </w:rPr>
      <w:instrText xml:space="preserve"> PAGE </w:instrText>
    </w:r>
    <w:r>
      <w:rPr>
        <w:rStyle w:val="PageNumber"/>
        <w:lang w:val="en-US"/>
      </w:rPr>
      <w:fldChar w:fldCharType="separate"/>
    </w:r>
    <w:r w:rsidR="00B85E54">
      <w:rPr>
        <w:rStyle w:val="PageNumber"/>
        <w:noProof/>
      </w:rPr>
      <w:t>12</w:t>
    </w:r>
    <w:r>
      <w:rPr>
        <w:rStyle w:val="PageNumber"/>
        <w:lang w:val="en-US"/>
      </w:rPr>
      <w:fldChar w:fldCharType="end"/>
    </w:r>
    <w:r w:rsidRPr="006C75B5">
      <w:tab/>
      <w:t>DÉCISION ATTENA' ET AUTRES c. ITALIE</w:t>
    </w:r>
    <w:r>
      <w:rPr>
        <w:noProof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Pr="006C75B5" w:rsidRDefault="006C75B5" w:rsidP="00A04C71">
    <w:pPr>
      <w:pStyle w:val="Header"/>
    </w:pPr>
    <w:r>
      <w:tab/>
    </w:r>
    <w:r w:rsidRPr="006C75B5">
      <w:t>DÉCISION ATTENA' ET AUTRES c. ITALIE</w:t>
    </w:r>
    <w:r>
      <w:rPr>
        <w:noProof/>
      </w:rPr>
      <w:t xml:space="preserve"> ET AUTRES REQUÊTES</w:t>
    </w:r>
    <w:r w:rsidRPr="006C75B5">
      <w:tab/>
    </w:r>
    <w:r>
      <w:rPr>
        <w:rStyle w:val="PageNumber"/>
        <w:lang w:val="en-US"/>
      </w:rPr>
      <w:fldChar w:fldCharType="begin"/>
    </w:r>
    <w:r w:rsidRPr="006C75B5">
      <w:rPr>
        <w:rStyle w:val="PageNumber"/>
      </w:rPr>
      <w:instrText xml:space="preserve"> PAGE </w:instrText>
    </w:r>
    <w:r>
      <w:rPr>
        <w:rStyle w:val="PageNumber"/>
        <w:lang w:val="en-US"/>
      </w:rPr>
      <w:fldChar w:fldCharType="separate"/>
    </w:r>
    <w:r w:rsidR="00B85E54">
      <w:rPr>
        <w:rStyle w:val="PageNumber"/>
        <w:noProof/>
      </w:rPr>
      <w:t>12</w:t>
    </w:r>
    <w:r>
      <w:rPr>
        <w:rStyle w:val="PageNumber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Pr="00C00F0F" w:rsidRDefault="00B85E54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ja-JP"/>
      </w:rPr>
      <w:drawing>
        <wp:inline distT="0" distB="0" distL="0" distR="0">
          <wp:extent cx="4097020" cy="208661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5B5" w:rsidRDefault="006C75B5" w:rsidP="00FA22CA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Pr="006C75B5" w:rsidRDefault="006C75B5" w:rsidP="00A04C71">
    <w:pPr>
      <w:pStyle w:val="Header"/>
    </w:pPr>
    <w:r>
      <w:rPr>
        <w:rStyle w:val="PageNumber"/>
        <w:lang w:val="en-US"/>
      </w:rPr>
      <w:fldChar w:fldCharType="begin"/>
    </w:r>
    <w:r w:rsidRPr="006C75B5">
      <w:rPr>
        <w:rStyle w:val="PageNumber"/>
      </w:rPr>
      <w:instrText xml:space="preserve"> PAGE </w:instrText>
    </w:r>
    <w:r>
      <w:rPr>
        <w:rStyle w:val="PageNumber"/>
        <w:lang w:val="en-US"/>
      </w:rPr>
      <w:fldChar w:fldCharType="separate"/>
    </w:r>
    <w:r w:rsidR="00B85E54">
      <w:rPr>
        <w:rStyle w:val="PageNumber"/>
        <w:noProof/>
      </w:rPr>
      <w:t>12</w:t>
    </w:r>
    <w:r>
      <w:rPr>
        <w:rStyle w:val="PageNumber"/>
        <w:lang w:val="en-US"/>
      </w:rPr>
      <w:fldChar w:fldCharType="end"/>
    </w:r>
    <w:r w:rsidRPr="006C75B5">
      <w:tab/>
      <w:t>DÉCISION ATTENA' ET AUTRES c. ITALIE</w:t>
    </w:r>
    <w:r>
      <w:rPr>
        <w:noProof/>
      </w:rPr>
      <w:t xml:space="preserve"> 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Pr="006C75B5" w:rsidRDefault="006C75B5" w:rsidP="00A04C71">
    <w:pPr>
      <w:pStyle w:val="Header"/>
    </w:pPr>
    <w:r>
      <w:tab/>
    </w:r>
    <w:r w:rsidRPr="006C75B5">
      <w:t>DÉCISION ATTENA' ET AUTRES c. ITALIE</w:t>
    </w:r>
    <w:r>
      <w:rPr>
        <w:noProof/>
      </w:rPr>
      <w:t xml:space="preserve"> ET AUTRES REQUÊTES</w:t>
    </w:r>
    <w:r w:rsidRPr="006C75B5">
      <w:tab/>
    </w:r>
    <w:r>
      <w:rPr>
        <w:rStyle w:val="PageNumber"/>
        <w:lang w:val="en-US"/>
      </w:rPr>
      <w:fldChar w:fldCharType="begin"/>
    </w:r>
    <w:r w:rsidRPr="006C75B5">
      <w:rPr>
        <w:rStyle w:val="PageNumber"/>
      </w:rPr>
      <w:instrText xml:space="preserve"> PAGE </w:instrText>
    </w:r>
    <w:r>
      <w:rPr>
        <w:rStyle w:val="PageNumber"/>
        <w:lang w:val="en-US"/>
      </w:rPr>
      <w:fldChar w:fldCharType="separate"/>
    </w:r>
    <w:r w:rsidR="00B85E54">
      <w:rPr>
        <w:rStyle w:val="PageNumber"/>
        <w:noProof/>
      </w:rPr>
      <w:t>12</w:t>
    </w:r>
    <w:r>
      <w:rPr>
        <w:rStyle w:val="PageNumber"/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5" w:rsidRPr="00C00F0F" w:rsidRDefault="00B85E54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ja-JP"/>
      </w:rPr>
      <w:drawing>
        <wp:inline distT="0" distB="0" distL="0" distR="0">
          <wp:extent cx="4097020" cy="2086610"/>
          <wp:effectExtent l="0" t="0" r="0" b="0"/>
          <wp:docPr id="3" name="Picture 3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5B5" w:rsidRDefault="006C75B5" w:rsidP="00FA22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7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1924C1"/>
    <w:multiLevelType w:val="hybridMultilevel"/>
    <w:tmpl w:val="9220809A"/>
    <w:lvl w:ilvl="0" w:tplc="69987204">
      <w:start w:val="1"/>
      <w:numFmt w:val="lowerRoman"/>
      <w:lvlRestart w:val="0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E6CBD"/>
    <w:multiLevelType w:val="hybridMultilevel"/>
    <w:tmpl w:val="5B122094"/>
    <w:lvl w:ilvl="0" w:tplc="4FDAD2AA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6C75B5"/>
    <w:rsid w:val="00023136"/>
    <w:rsid w:val="00032F1D"/>
    <w:rsid w:val="00065108"/>
    <w:rsid w:val="000776E7"/>
    <w:rsid w:val="000903DC"/>
    <w:rsid w:val="00090C1A"/>
    <w:rsid w:val="000A1401"/>
    <w:rsid w:val="000F6A08"/>
    <w:rsid w:val="0010023A"/>
    <w:rsid w:val="00107930"/>
    <w:rsid w:val="00112D62"/>
    <w:rsid w:val="0011604E"/>
    <w:rsid w:val="0015481C"/>
    <w:rsid w:val="00154F16"/>
    <w:rsid w:val="00172736"/>
    <w:rsid w:val="001D1FA9"/>
    <w:rsid w:val="00200248"/>
    <w:rsid w:val="00203AD0"/>
    <w:rsid w:val="00205AA5"/>
    <w:rsid w:val="002118F8"/>
    <w:rsid w:val="00226A7D"/>
    <w:rsid w:val="002532BA"/>
    <w:rsid w:val="00255060"/>
    <w:rsid w:val="0027093D"/>
    <w:rsid w:val="002712D0"/>
    <w:rsid w:val="002770EA"/>
    <w:rsid w:val="0028619D"/>
    <w:rsid w:val="002D6308"/>
    <w:rsid w:val="002E7061"/>
    <w:rsid w:val="00310822"/>
    <w:rsid w:val="0031317E"/>
    <w:rsid w:val="0032205F"/>
    <w:rsid w:val="0034473C"/>
    <w:rsid w:val="00385AD6"/>
    <w:rsid w:val="003B16FB"/>
    <w:rsid w:val="003C22C1"/>
    <w:rsid w:val="003C36F5"/>
    <w:rsid w:val="003D0B23"/>
    <w:rsid w:val="003F25B2"/>
    <w:rsid w:val="00400961"/>
    <w:rsid w:val="00407DAE"/>
    <w:rsid w:val="00420AA8"/>
    <w:rsid w:val="00443C1B"/>
    <w:rsid w:val="00493AB0"/>
    <w:rsid w:val="00493E46"/>
    <w:rsid w:val="004A3858"/>
    <w:rsid w:val="004B31F3"/>
    <w:rsid w:val="005037AE"/>
    <w:rsid w:val="005A42E8"/>
    <w:rsid w:val="005B6C5B"/>
    <w:rsid w:val="005D5641"/>
    <w:rsid w:val="00633392"/>
    <w:rsid w:val="00684F0E"/>
    <w:rsid w:val="006A2B72"/>
    <w:rsid w:val="006A7B93"/>
    <w:rsid w:val="006C75B5"/>
    <w:rsid w:val="006E27C0"/>
    <w:rsid w:val="007651AE"/>
    <w:rsid w:val="007662FC"/>
    <w:rsid w:val="007A309B"/>
    <w:rsid w:val="007D76BA"/>
    <w:rsid w:val="007F129C"/>
    <w:rsid w:val="00801124"/>
    <w:rsid w:val="00803C18"/>
    <w:rsid w:val="008136EC"/>
    <w:rsid w:val="00832AA9"/>
    <w:rsid w:val="00844B64"/>
    <w:rsid w:val="008579EB"/>
    <w:rsid w:val="00865E41"/>
    <w:rsid w:val="00874A8F"/>
    <w:rsid w:val="00875B0A"/>
    <w:rsid w:val="008E63DB"/>
    <w:rsid w:val="00927DD4"/>
    <w:rsid w:val="009730E8"/>
    <w:rsid w:val="00984EA3"/>
    <w:rsid w:val="009927A5"/>
    <w:rsid w:val="009B224F"/>
    <w:rsid w:val="009B451E"/>
    <w:rsid w:val="009B5280"/>
    <w:rsid w:val="009E5DF3"/>
    <w:rsid w:val="00A04C71"/>
    <w:rsid w:val="00A103C8"/>
    <w:rsid w:val="00A133AC"/>
    <w:rsid w:val="00A144FE"/>
    <w:rsid w:val="00A17FA0"/>
    <w:rsid w:val="00A94C68"/>
    <w:rsid w:val="00A95342"/>
    <w:rsid w:val="00AA7712"/>
    <w:rsid w:val="00AC51AB"/>
    <w:rsid w:val="00B1214B"/>
    <w:rsid w:val="00B32A42"/>
    <w:rsid w:val="00B43BED"/>
    <w:rsid w:val="00B5195D"/>
    <w:rsid w:val="00B82A8F"/>
    <w:rsid w:val="00B85E54"/>
    <w:rsid w:val="00BB340A"/>
    <w:rsid w:val="00BF1267"/>
    <w:rsid w:val="00BF2FDC"/>
    <w:rsid w:val="00C92045"/>
    <w:rsid w:val="00CC7EC4"/>
    <w:rsid w:val="00D25AE8"/>
    <w:rsid w:val="00D83B17"/>
    <w:rsid w:val="00D862B7"/>
    <w:rsid w:val="00DA7E94"/>
    <w:rsid w:val="00DB28B4"/>
    <w:rsid w:val="00DB5EE7"/>
    <w:rsid w:val="00DC44E5"/>
    <w:rsid w:val="00DD2564"/>
    <w:rsid w:val="00E6776A"/>
    <w:rsid w:val="00EB6E07"/>
    <w:rsid w:val="00EC49B5"/>
    <w:rsid w:val="00ED11F0"/>
    <w:rsid w:val="00EE39D3"/>
    <w:rsid w:val="00F12B8E"/>
    <w:rsid w:val="00F275F4"/>
    <w:rsid w:val="00F658A0"/>
    <w:rsid w:val="00F706B5"/>
    <w:rsid w:val="00F9710C"/>
    <w:rsid w:val="00FA22CA"/>
    <w:rsid w:val="00FA5B45"/>
    <w:rsid w:val="00FD6C5C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E8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5A42E8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A42E8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2E8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5A42E8"/>
  </w:style>
  <w:style w:type="table" w:default="1" w:styleId="TableNormal">
    <w:name w:val="Normal Table"/>
    <w:semiHidden/>
    <w:rsid w:val="005A42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42E8"/>
  </w:style>
  <w:style w:type="paragraph" w:styleId="Header">
    <w:name w:val="head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0903DC"/>
    <w:pPr>
      <w:jc w:val="both"/>
    </w:pPr>
    <w:rPr>
      <w:sz w:val="20"/>
    </w:rPr>
  </w:style>
  <w:style w:type="paragraph" w:styleId="Footer">
    <w:name w:val="foot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0903DC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rsid w:val="005A42E8"/>
    <w:pPr>
      <w:ind w:firstLine="284"/>
      <w:jc w:val="both"/>
    </w:pPr>
  </w:style>
  <w:style w:type="character" w:customStyle="1" w:styleId="JuParaCharChar">
    <w:name w:val="Ju_Para Char Char"/>
    <w:link w:val="JuParaChar"/>
    <w:rsid w:val="00226A7D"/>
    <w:rPr>
      <w:sz w:val="24"/>
      <w:lang w:val="fr-FR" w:eastAsia="fr-FR" w:bidi="ar-SA"/>
    </w:rPr>
  </w:style>
  <w:style w:type="character" w:styleId="FootnoteReference">
    <w:name w:val="footnote reference"/>
    <w:semiHidden/>
    <w:rsid w:val="000903DC"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sid w:val="000903DC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rsid w:val="000903DC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rsid w:val="000903DC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0903DC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rsid w:val="000903DC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rsid w:val="000903DC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rsid w:val="000903DC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rsid w:val="000903DC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0903DC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rsid w:val="000903DC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rsid w:val="000903DC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rsid w:val="000903DC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rsid w:val="000903DC"/>
    <w:pPr>
      <w:ind w:left="0" w:firstLine="0"/>
      <w:jc w:val="center"/>
    </w:pPr>
  </w:style>
  <w:style w:type="paragraph" w:customStyle="1" w:styleId="JuQuot">
    <w:name w:val="Ju_Quot"/>
    <w:basedOn w:val="JuPara"/>
    <w:rsid w:val="000903DC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  <w:rsid w:val="000903DC"/>
  </w:style>
  <w:style w:type="paragraph" w:customStyle="1" w:styleId="JuSigned">
    <w:name w:val="Ju_Signed"/>
    <w:basedOn w:val="NormalTimesNewRoman"/>
    <w:next w:val="JuParaLast"/>
    <w:rsid w:val="000903DC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0903DC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0903DC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0903DC"/>
    <w:pPr>
      <w:ind w:left="340" w:hanging="340"/>
    </w:pPr>
  </w:style>
  <w:style w:type="paragraph" w:customStyle="1" w:styleId="JuLista">
    <w:name w:val="Ju_List_a"/>
    <w:basedOn w:val="JuList"/>
    <w:rsid w:val="000903DC"/>
    <w:pPr>
      <w:ind w:left="346" w:firstLine="0"/>
    </w:pPr>
  </w:style>
  <w:style w:type="paragraph" w:customStyle="1" w:styleId="JuListi">
    <w:name w:val="Ju_List_i"/>
    <w:basedOn w:val="JuLista"/>
    <w:rsid w:val="000903DC"/>
    <w:pPr>
      <w:ind w:left="794"/>
    </w:pPr>
  </w:style>
  <w:style w:type="paragraph" w:styleId="DocumentMap">
    <w:name w:val="Document Map"/>
    <w:basedOn w:val="Normal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rsid w:val="00A95342"/>
  </w:style>
  <w:style w:type="paragraph" w:customStyle="1" w:styleId="JuParaSub">
    <w:name w:val="Ju_Para_Sub"/>
    <w:basedOn w:val="JuPara"/>
    <w:rsid w:val="000903DC"/>
    <w:pPr>
      <w:ind w:left="284"/>
    </w:pPr>
  </w:style>
  <w:style w:type="paragraph" w:customStyle="1" w:styleId="OpiHA">
    <w:name w:val="Opi_H_A"/>
    <w:basedOn w:val="JuHIRoman"/>
    <w:next w:val="OpiPara"/>
    <w:rsid w:val="00A95342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  <w:rsid w:val="00A95342"/>
  </w:style>
  <w:style w:type="paragraph" w:customStyle="1" w:styleId="OpiH1">
    <w:name w:val="Opi_H_1."/>
    <w:basedOn w:val="OpiHA"/>
    <w:next w:val="OpiPara"/>
    <w:rsid w:val="00A95342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A95342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9534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95342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  <w:rsid w:val="00A95342"/>
  </w:style>
  <w:style w:type="paragraph" w:customStyle="1" w:styleId="OpiTranslation">
    <w:name w:val="Opi_Translation"/>
    <w:basedOn w:val="OpiHHead"/>
    <w:next w:val="OpiPara"/>
    <w:rsid w:val="00A95342"/>
    <w:rPr>
      <w:i/>
      <w:sz w:val="24"/>
    </w:rPr>
  </w:style>
  <w:style w:type="paragraph" w:customStyle="1" w:styleId="DecHTitle">
    <w:name w:val="Dec_H_Title"/>
    <w:basedOn w:val="Normal"/>
    <w:rsid w:val="0027093D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A95342"/>
    <w:rPr>
      <w:sz w:val="24"/>
    </w:rPr>
  </w:style>
  <w:style w:type="paragraph" w:customStyle="1" w:styleId="DecList">
    <w:name w:val="Dec_List"/>
    <w:basedOn w:val="Normal"/>
    <w:rsid w:val="0027093D"/>
    <w:pPr>
      <w:spacing w:before="240"/>
      <w:ind w:left="284"/>
      <w:jc w:val="both"/>
    </w:pPr>
  </w:style>
  <w:style w:type="paragraph" w:customStyle="1" w:styleId="JuQuotSub">
    <w:name w:val="Ju_Quot_Sub"/>
    <w:basedOn w:val="JuQuot"/>
    <w:rsid w:val="000903DC"/>
    <w:pPr>
      <w:ind w:left="567"/>
    </w:pPr>
  </w:style>
  <w:style w:type="paragraph" w:customStyle="1" w:styleId="SuCoverTitle1">
    <w:name w:val="Su_Cover_Title1"/>
    <w:basedOn w:val="Normal"/>
    <w:next w:val="SuCoverTitle2"/>
    <w:rsid w:val="0027093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1D1FA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1D1FA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1D1FA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1D1FA9"/>
    <w:pPr>
      <w:spacing w:after="120"/>
    </w:pPr>
  </w:style>
  <w:style w:type="paragraph" w:customStyle="1" w:styleId="SuSubject">
    <w:name w:val="Su_Subject"/>
    <w:basedOn w:val="SuSummary"/>
    <w:rsid w:val="001D1FA9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27093D"/>
    <w:pPr>
      <w:spacing w:after="240"/>
      <w:jc w:val="center"/>
    </w:pPr>
  </w:style>
  <w:style w:type="paragraph" w:styleId="BalloonText">
    <w:name w:val="Balloon Text"/>
    <w:basedOn w:val="Normal"/>
    <w:semiHidden/>
    <w:rsid w:val="002712D0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903DC"/>
    <w:rPr>
      <w:sz w:val="20"/>
    </w:rPr>
  </w:style>
  <w:style w:type="character" w:styleId="FollowedHyperlink">
    <w:name w:val="FollowedHyperlink"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sid w:val="000903DC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  <w:rsid w:val="00A95342"/>
  </w:style>
  <w:style w:type="paragraph" w:customStyle="1" w:styleId="JuAppQuestion">
    <w:name w:val="Ju_App_Question"/>
    <w:basedOn w:val="ListBullet"/>
    <w:rsid w:val="000903DC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rsid w:val="001D1FA9"/>
    <w:pPr>
      <w:numPr>
        <w:numId w:val="1"/>
      </w:numPr>
    </w:pPr>
  </w:style>
  <w:style w:type="character" w:customStyle="1" w:styleId="JuNames">
    <w:name w:val="Ju_Names"/>
    <w:rsid w:val="000903DC"/>
    <w:rPr>
      <w:rFonts w:ascii="Times New Roman" w:hAnsi="Times New Roman" w:cs="Times New Roman"/>
      <w:smallCaps/>
    </w:rPr>
  </w:style>
  <w:style w:type="character" w:customStyle="1" w:styleId="JuITMark">
    <w:name w:val="Ju_ITMark"/>
    <w:rsid w:val="000903DC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sid w:val="002E7061"/>
    <w:rPr>
      <w:sz w:val="28"/>
      <w:lang w:val="fr-FR" w:eastAsia="fr-FR" w:bidi="ar-SA"/>
    </w:rPr>
  </w:style>
  <w:style w:type="character" w:customStyle="1" w:styleId="DefaultTimesNewRoman">
    <w:name w:val="Default_TimesNewRoman"/>
    <w:rsid w:val="000903DC"/>
    <w:rPr>
      <w:rFonts w:ascii="Times New Roman" w:hAnsi="Times New Roman" w:cs="Times New Roman"/>
    </w:rPr>
  </w:style>
  <w:style w:type="paragraph" w:customStyle="1" w:styleId="NormalTimesNewRoman">
    <w:name w:val="Normal_TimesNewRoman"/>
    <w:rsid w:val="000903DC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rsid w:val="000903DC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sid w:val="00407DAE"/>
    <w:rPr>
      <w:b/>
      <w:caps/>
      <w:sz w:val="24"/>
      <w:szCs w:val="24"/>
      <w:u w:val="single"/>
      <w:lang w:val="fr-FR" w:eastAsia="fr-FR" w:bidi="ar-SA"/>
    </w:rPr>
  </w:style>
  <w:style w:type="character" w:customStyle="1" w:styleId="JuParaChar1">
    <w:name w:val="Ju_Para Char1"/>
    <w:link w:val="JuPara"/>
    <w:rsid w:val="006C75B5"/>
    <w:rPr>
      <w:sz w:val="24"/>
      <w:lang w:val="fr-FR" w:eastAsia="fr-FR"/>
    </w:rPr>
  </w:style>
  <w:style w:type="table" w:styleId="TableGrid">
    <w:name w:val="Table Grid"/>
    <w:basedOn w:val="TableNormal"/>
    <w:rsid w:val="006C75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E8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5A42E8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A42E8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2E8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5A42E8"/>
  </w:style>
  <w:style w:type="table" w:default="1" w:styleId="TableNormal">
    <w:name w:val="Normal Table"/>
    <w:semiHidden/>
    <w:rsid w:val="005A42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42E8"/>
  </w:style>
  <w:style w:type="paragraph" w:styleId="Header">
    <w:name w:val="head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0903DC"/>
    <w:pPr>
      <w:jc w:val="both"/>
    </w:pPr>
    <w:rPr>
      <w:sz w:val="20"/>
    </w:rPr>
  </w:style>
  <w:style w:type="paragraph" w:styleId="Footer">
    <w:name w:val="foot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0903DC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rsid w:val="005A42E8"/>
    <w:pPr>
      <w:ind w:firstLine="284"/>
      <w:jc w:val="both"/>
    </w:pPr>
  </w:style>
  <w:style w:type="character" w:customStyle="1" w:styleId="JuParaCharChar">
    <w:name w:val="Ju_Para Char Char"/>
    <w:link w:val="JuParaChar"/>
    <w:rsid w:val="00226A7D"/>
    <w:rPr>
      <w:sz w:val="24"/>
      <w:lang w:val="fr-FR" w:eastAsia="fr-FR" w:bidi="ar-SA"/>
    </w:rPr>
  </w:style>
  <w:style w:type="character" w:styleId="FootnoteReference">
    <w:name w:val="footnote reference"/>
    <w:semiHidden/>
    <w:rsid w:val="000903DC"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sid w:val="000903DC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rsid w:val="000903DC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rsid w:val="000903DC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0903DC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rsid w:val="000903DC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rsid w:val="000903DC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rsid w:val="000903DC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rsid w:val="000903DC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0903DC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rsid w:val="000903DC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rsid w:val="000903DC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rsid w:val="000903DC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rsid w:val="000903DC"/>
    <w:pPr>
      <w:ind w:left="0" w:firstLine="0"/>
      <w:jc w:val="center"/>
    </w:pPr>
  </w:style>
  <w:style w:type="paragraph" w:customStyle="1" w:styleId="JuQuot">
    <w:name w:val="Ju_Quot"/>
    <w:basedOn w:val="JuPara"/>
    <w:rsid w:val="000903DC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  <w:rsid w:val="000903DC"/>
  </w:style>
  <w:style w:type="paragraph" w:customStyle="1" w:styleId="JuSigned">
    <w:name w:val="Ju_Signed"/>
    <w:basedOn w:val="NormalTimesNewRoman"/>
    <w:next w:val="JuParaLast"/>
    <w:rsid w:val="000903DC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0903DC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0903DC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0903DC"/>
    <w:pPr>
      <w:ind w:left="340" w:hanging="340"/>
    </w:pPr>
  </w:style>
  <w:style w:type="paragraph" w:customStyle="1" w:styleId="JuLista">
    <w:name w:val="Ju_List_a"/>
    <w:basedOn w:val="JuList"/>
    <w:rsid w:val="000903DC"/>
    <w:pPr>
      <w:ind w:left="346" w:firstLine="0"/>
    </w:pPr>
  </w:style>
  <w:style w:type="paragraph" w:customStyle="1" w:styleId="JuListi">
    <w:name w:val="Ju_List_i"/>
    <w:basedOn w:val="JuLista"/>
    <w:rsid w:val="000903DC"/>
    <w:pPr>
      <w:ind w:left="794"/>
    </w:pPr>
  </w:style>
  <w:style w:type="paragraph" w:styleId="DocumentMap">
    <w:name w:val="Document Map"/>
    <w:basedOn w:val="Normal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rsid w:val="00A95342"/>
  </w:style>
  <w:style w:type="paragraph" w:customStyle="1" w:styleId="JuParaSub">
    <w:name w:val="Ju_Para_Sub"/>
    <w:basedOn w:val="JuPara"/>
    <w:rsid w:val="000903DC"/>
    <w:pPr>
      <w:ind w:left="284"/>
    </w:pPr>
  </w:style>
  <w:style w:type="paragraph" w:customStyle="1" w:styleId="OpiHA">
    <w:name w:val="Opi_H_A"/>
    <w:basedOn w:val="JuHIRoman"/>
    <w:next w:val="OpiPara"/>
    <w:rsid w:val="00A95342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  <w:rsid w:val="00A95342"/>
  </w:style>
  <w:style w:type="paragraph" w:customStyle="1" w:styleId="OpiH1">
    <w:name w:val="Opi_H_1."/>
    <w:basedOn w:val="OpiHA"/>
    <w:next w:val="OpiPara"/>
    <w:rsid w:val="00A95342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A95342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9534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95342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  <w:rsid w:val="00A95342"/>
  </w:style>
  <w:style w:type="paragraph" w:customStyle="1" w:styleId="OpiTranslation">
    <w:name w:val="Opi_Translation"/>
    <w:basedOn w:val="OpiHHead"/>
    <w:next w:val="OpiPara"/>
    <w:rsid w:val="00A95342"/>
    <w:rPr>
      <w:i/>
      <w:sz w:val="24"/>
    </w:rPr>
  </w:style>
  <w:style w:type="paragraph" w:customStyle="1" w:styleId="DecHTitle">
    <w:name w:val="Dec_H_Title"/>
    <w:basedOn w:val="Normal"/>
    <w:rsid w:val="0027093D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A95342"/>
    <w:rPr>
      <w:sz w:val="24"/>
    </w:rPr>
  </w:style>
  <w:style w:type="paragraph" w:customStyle="1" w:styleId="DecList">
    <w:name w:val="Dec_List"/>
    <w:basedOn w:val="Normal"/>
    <w:rsid w:val="0027093D"/>
    <w:pPr>
      <w:spacing w:before="240"/>
      <w:ind w:left="284"/>
      <w:jc w:val="both"/>
    </w:pPr>
  </w:style>
  <w:style w:type="paragraph" w:customStyle="1" w:styleId="JuQuotSub">
    <w:name w:val="Ju_Quot_Sub"/>
    <w:basedOn w:val="JuQuot"/>
    <w:rsid w:val="000903DC"/>
    <w:pPr>
      <w:ind w:left="567"/>
    </w:pPr>
  </w:style>
  <w:style w:type="paragraph" w:customStyle="1" w:styleId="SuCoverTitle1">
    <w:name w:val="Su_Cover_Title1"/>
    <w:basedOn w:val="Normal"/>
    <w:next w:val="SuCoverTitle2"/>
    <w:rsid w:val="0027093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1D1FA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1D1FA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1D1FA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1D1FA9"/>
    <w:pPr>
      <w:spacing w:after="120"/>
    </w:pPr>
  </w:style>
  <w:style w:type="paragraph" w:customStyle="1" w:styleId="SuSubject">
    <w:name w:val="Su_Subject"/>
    <w:basedOn w:val="SuSummary"/>
    <w:rsid w:val="001D1FA9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27093D"/>
    <w:pPr>
      <w:spacing w:after="240"/>
      <w:jc w:val="center"/>
    </w:pPr>
  </w:style>
  <w:style w:type="paragraph" w:styleId="BalloonText">
    <w:name w:val="Balloon Text"/>
    <w:basedOn w:val="Normal"/>
    <w:semiHidden/>
    <w:rsid w:val="002712D0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903DC"/>
    <w:rPr>
      <w:sz w:val="20"/>
    </w:rPr>
  </w:style>
  <w:style w:type="character" w:styleId="FollowedHyperlink">
    <w:name w:val="FollowedHyperlink"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sid w:val="000903DC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  <w:rsid w:val="00A95342"/>
  </w:style>
  <w:style w:type="paragraph" w:customStyle="1" w:styleId="JuAppQuestion">
    <w:name w:val="Ju_App_Question"/>
    <w:basedOn w:val="ListBullet"/>
    <w:rsid w:val="000903DC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rsid w:val="001D1FA9"/>
    <w:pPr>
      <w:numPr>
        <w:numId w:val="1"/>
      </w:numPr>
    </w:pPr>
  </w:style>
  <w:style w:type="character" w:customStyle="1" w:styleId="JuNames">
    <w:name w:val="Ju_Names"/>
    <w:rsid w:val="000903DC"/>
    <w:rPr>
      <w:rFonts w:ascii="Times New Roman" w:hAnsi="Times New Roman" w:cs="Times New Roman"/>
      <w:smallCaps/>
    </w:rPr>
  </w:style>
  <w:style w:type="character" w:customStyle="1" w:styleId="JuITMark">
    <w:name w:val="Ju_ITMark"/>
    <w:rsid w:val="000903DC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sid w:val="002E7061"/>
    <w:rPr>
      <w:sz w:val="28"/>
      <w:lang w:val="fr-FR" w:eastAsia="fr-FR" w:bidi="ar-SA"/>
    </w:rPr>
  </w:style>
  <w:style w:type="character" w:customStyle="1" w:styleId="DefaultTimesNewRoman">
    <w:name w:val="Default_TimesNewRoman"/>
    <w:rsid w:val="000903DC"/>
    <w:rPr>
      <w:rFonts w:ascii="Times New Roman" w:hAnsi="Times New Roman" w:cs="Times New Roman"/>
    </w:rPr>
  </w:style>
  <w:style w:type="paragraph" w:customStyle="1" w:styleId="NormalTimesNewRoman">
    <w:name w:val="Normal_TimesNewRoman"/>
    <w:rsid w:val="000903DC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rsid w:val="000903DC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sid w:val="00407DAE"/>
    <w:rPr>
      <w:b/>
      <w:caps/>
      <w:sz w:val="24"/>
      <w:szCs w:val="24"/>
      <w:u w:val="single"/>
      <w:lang w:val="fr-FR" w:eastAsia="fr-FR" w:bidi="ar-SA"/>
    </w:rPr>
  </w:style>
  <w:style w:type="character" w:customStyle="1" w:styleId="JuParaChar1">
    <w:name w:val="Ju_Para Char1"/>
    <w:link w:val="JuPara"/>
    <w:rsid w:val="006C75B5"/>
    <w:rPr>
      <w:sz w:val="24"/>
      <w:lang w:val="fr-FR" w:eastAsia="fr-FR"/>
    </w:rPr>
  </w:style>
  <w:style w:type="table" w:styleId="TableGrid">
    <w:name w:val="Table Grid"/>
    <w:basedOn w:val="TableNormal"/>
    <w:rsid w:val="006C75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DFE9C-B9E7-46D2-A59A-ACF6BCF3F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960C4-7E81-4671-BE17-E3B276F0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cp:lastModifiedBy/>
  <cp:revision>1</cp:revision>
  <cp:lastPrinted>2005-12-21T06:57:00Z</cp:lastPrinted>
  <dcterms:created xsi:type="dcterms:W3CDTF">2013-05-28T07:16:00Z</dcterms:created>
  <dcterms:modified xsi:type="dcterms:W3CDTF">2013-05-28T07:16:00Z</dcterms:modified>
  <cp:category>ECHR Template</cp:category>
</cp:coreProperties>
</file>